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华文中宋" w:hAnsi="华文中宋" w:eastAsia="华文中宋"/>
          <w:sz w:val="36"/>
          <w:szCs w:val="36"/>
          <w:lang w:eastAsia="zh-CN"/>
        </w:rPr>
      </w:pPr>
      <w:bookmarkStart w:id="3" w:name="_GoBack"/>
      <w:bookmarkEnd w:id="3"/>
    </w:p>
    <w:p>
      <w:pPr>
        <w:snapToGrid w:val="0"/>
        <w:jc w:val="center"/>
        <w:rPr>
          <w:rFonts w:ascii="华文中宋" w:hAnsi="华文中宋" w:eastAsia="华文中宋"/>
          <w:sz w:val="36"/>
          <w:szCs w:val="36"/>
        </w:rPr>
      </w:pPr>
    </w:p>
    <w:p>
      <w:pPr>
        <w:snapToGrid w:val="0"/>
        <w:jc w:val="center"/>
        <w:rPr>
          <w:rFonts w:ascii="华文中宋" w:hAnsi="华文中宋" w:eastAsia="华文中宋"/>
          <w:sz w:val="36"/>
          <w:szCs w:val="36"/>
        </w:rPr>
      </w:pPr>
      <w:r>
        <w:rPr>
          <w:rFonts w:hint="eastAsia" w:ascii="华文中宋" w:hAnsi="华文中宋" w:eastAsia="华文中宋"/>
          <w:b/>
          <w:bCs/>
          <w:sz w:val="36"/>
          <w:szCs w:val="36"/>
        </w:rPr>
        <w:t>20</w:t>
      </w:r>
      <w:r>
        <w:rPr>
          <w:rFonts w:hint="eastAsia" w:ascii="华文中宋" w:hAnsi="华文中宋" w:eastAsia="华文中宋"/>
          <w:b/>
          <w:bCs/>
          <w:sz w:val="36"/>
          <w:szCs w:val="36"/>
          <w:lang w:val="en-US" w:eastAsia="zh-CN"/>
        </w:rPr>
        <w:t>21</w:t>
      </w:r>
      <w:r>
        <w:rPr>
          <w:rFonts w:hint="eastAsia" w:ascii="华文中宋" w:hAnsi="华文中宋" w:eastAsia="华文中宋"/>
          <w:b/>
          <w:bCs/>
          <w:sz w:val="36"/>
          <w:szCs w:val="36"/>
        </w:rPr>
        <w:t>年度部门决算分析报告</w:t>
      </w:r>
    </w:p>
    <w:p>
      <w:pPr>
        <w:snapToGrid w:val="0"/>
        <w:spacing w:line="520" w:lineRule="exact"/>
        <w:ind w:firstLine="600" w:firstLineChars="200"/>
        <w:rPr>
          <w:rFonts w:hint="eastAsia" w:asciiTheme="minorEastAsia" w:hAnsiTheme="minorEastAsia" w:eastAsiaTheme="minorEastAsia" w:cstheme="minorEastAsia"/>
          <w:sz w:val="30"/>
          <w:szCs w:val="30"/>
        </w:rPr>
      </w:pPr>
      <w:bookmarkStart w:id="0" w:name="YS060101"/>
    </w:p>
    <w:p>
      <w:pPr>
        <w:snapToGrid w:val="0"/>
        <w:spacing w:line="520" w:lineRule="exact"/>
        <w:ind w:firstLine="602" w:firstLineChars="200"/>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一、</w:t>
      </w:r>
      <w:r>
        <w:rPr>
          <w:rFonts w:hint="eastAsia" w:asciiTheme="minorEastAsia" w:hAnsiTheme="minorEastAsia" w:eastAsiaTheme="minorEastAsia" w:cstheme="minorEastAsia"/>
          <w:b/>
          <w:bCs/>
          <w:sz w:val="30"/>
          <w:szCs w:val="30"/>
          <w:lang w:eastAsia="zh-CN"/>
        </w:rPr>
        <w:t>单位</w:t>
      </w:r>
      <w:r>
        <w:rPr>
          <w:rFonts w:hint="eastAsia" w:asciiTheme="minorEastAsia" w:hAnsiTheme="minorEastAsia" w:eastAsiaTheme="minorEastAsia" w:cstheme="minorEastAsia"/>
          <w:b/>
          <w:bCs/>
          <w:sz w:val="30"/>
          <w:szCs w:val="30"/>
        </w:rPr>
        <w:t>情况</w:t>
      </w:r>
    </w:p>
    <w:bookmarkEnd w:id="0"/>
    <w:p>
      <w:pPr>
        <w:snapToGrid w:val="0"/>
        <w:spacing w:line="520" w:lineRule="exact"/>
        <w:ind w:firstLine="602" w:firstLineChars="200"/>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（一）基本情况。</w:t>
      </w:r>
    </w:p>
    <w:p>
      <w:pPr>
        <w:ind w:firstLine="600" w:firstLineChars="200"/>
        <w:rPr>
          <w:rFonts w:hint="eastAsia" w:asciiTheme="minorEastAsia" w:hAnsiTheme="minorEastAsia" w:eastAsiaTheme="minorEastAsia" w:cstheme="minorEastAsia"/>
          <w:b w:val="0"/>
          <w:bCs w:val="0"/>
          <w:sz w:val="30"/>
          <w:szCs w:val="30"/>
        </w:rPr>
      </w:pPr>
      <w:r>
        <w:rPr>
          <w:rFonts w:hint="eastAsia" w:asciiTheme="minorEastAsia" w:hAnsiTheme="minorEastAsia" w:eastAsiaTheme="minorEastAsia" w:cstheme="minorEastAsia"/>
          <w:b w:val="0"/>
          <w:bCs w:val="0"/>
          <w:sz w:val="30"/>
          <w:szCs w:val="30"/>
        </w:rPr>
        <w:t>1、主要职能：</w:t>
      </w:r>
    </w:p>
    <w:p>
      <w:pPr>
        <w:numPr>
          <w:ilvl w:val="0"/>
          <w:numId w:val="0"/>
        </w:numPr>
        <w:ind w:firstLine="300" w:firstLineChars="100"/>
        <w:rPr>
          <w:rFonts w:hint="default"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1）协调推进深化医药卫生体制改革，会同有关部门研究提出深化医药卫生体制改革政策、措施和目标任务的建议。组织实施国家药物政策和基本药物制度。组织推动公立医院综合改革，推进管办分离，推进现代医院管理制度建设，推进医疗卫生机构管理制度建设，制定并组织实施卫生健康公共服务提供主体多元化、提供方式多样化的政策措施。建立公益性为导向的绩效考核和评价运行机制，建设和谐医患关系。</w:t>
      </w:r>
    </w:p>
    <w:p>
      <w:pPr>
        <w:numPr>
          <w:ilvl w:val="0"/>
          <w:numId w:val="0"/>
        </w:numPr>
        <w:ind w:firstLine="300" w:firstLineChars="100"/>
        <w:rPr>
          <w:rFonts w:hint="default"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2）贯彻实施国家中医药法律、法规，拟订并组织实施全区中医药事业发展规划、政策措施，并纳入全区卫生健康事业发展总体规划和目标。负责指导和管理全区中医药、中西医结合工作，推进中医药传承、创新与发展。</w:t>
      </w:r>
    </w:p>
    <w:p>
      <w:pPr>
        <w:numPr>
          <w:ilvl w:val="0"/>
          <w:numId w:val="0"/>
        </w:numPr>
        <w:ind w:firstLine="300" w:firstLineChars="100"/>
        <w:rPr>
          <w:rFonts w:hint="default"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3）负责制定全区疾病预防控制规划、免疫规划、严重危害人民健康的公共卫生问题的干预措施并组织实施，制定全区卫生应急和紧急医学救援预案、突发公共卫生事件监测和风险评估计划，组织指导全区突发公共卫生事件预防控制和各类突发公共事件的医疗卫生救援等应急处置。</w:t>
      </w:r>
    </w:p>
    <w:p>
      <w:pPr>
        <w:numPr>
          <w:ilvl w:val="0"/>
          <w:numId w:val="0"/>
        </w:numPr>
        <w:ind w:firstLine="300" w:firstLineChars="100"/>
        <w:rPr>
          <w:rFonts w:hint="default"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（4）组织拟订并协调落实全区应对人口老龄化政策措施，负责推进全区老年健康服务体系建设和医养结合工作。</w:t>
      </w:r>
    </w:p>
    <w:p>
      <w:pPr>
        <w:numPr>
          <w:ilvl w:val="0"/>
          <w:numId w:val="0"/>
        </w:numPr>
        <w:ind w:firstLine="300" w:firstLineChars="100"/>
        <w:rPr>
          <w:rFonts w:hint="default"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5）开展药品使用监测、临床综合评价和短缺药品预警。负责医疗机构医疗服务的全行业监督管理，组织实施国家和省关于医疗机构及医务人员执业标准、医疗服务、医疗技术、医疗质量、采供血等管理规范，并组织督促检查和评估。负责管理全区医疗救护工作。建立医疗机构医疗服务评价和监督体系。制定和实施职业道德规范和制度，开展职业道德教育。</w:t>
      </w:r>
    </w:p>
    <w:p>
      <w:pPr>
        <w:numPr>
          <w:ilvl w:val="0"/>
          <w:numId w:val="0"/>
        </w:numPr>
        <w:ind w:firstLine="300" w:firstLineChars="100"/>
        <w:rPr>
          <w:rFonts w:hint="default"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6）组织实施卫生行政执法工作，健全卫生健康综合监督体系，推进全区卫生健康诚信体系建设。组织实施职业卫生、放射卫生相关政策，组织开展职业病监测、专项调查、职业健康风险评估和职业人群健康管理工作。</w:t>
      </w:r>
    </w:p>
    <w:p>
      <w:pPr>
        <w:numPr>
          <w:ilvl w:val="0"/>
          <w:numId w:val="0"/>
        </w:numPr>
        <w:ind w:firstLine="300" w:firstLineChars="100"/>
        <w:rPr>
          <w:rFonts w:hint="default"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7）负责全区计划生育管理和服务工作，加强对基层生育服务工作的指导，完成人口发展规划相关任务，促进出生人口性别平衡和优生优育，提高出生人口素质。负责落实计划生育特殊困难家庭扶助和促进计划生育家庭发展等机制。</w:t>
      </w:r>
    </w:p>
    <w:p>
      <w:pPr>
        <w:ind w:firstLine="300" w:firstLineChars="100"/>
        <w:rPr>
          <w:rFonts w:hint="eastAsia" w:asciiTheme="minorEastAsia" w:hAnsiTheme="minorEastAsia" w:eastAsiaTheme="minorEastAsia" w:cstheme="minorEastAsia"/>
          <w:b w:val="0"/>
          <w:bCs w:val="0"/>
          <w:sz w:val="30"/>
          <w:szCs w:val="30"/>
        </w:rPr>
      </w:pPr>
    </w:p>
    <w:p>
      <w:pPr>
        <w:numPr>
          <w:ilvl w:val="0"/>
          <w:numId w:val="1"/>
        </w:num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机构情况：</w:t>
      </w:r>
      <w:r>
        <w:rPr>
          <w:rFonts w:hint="eastAsia" w:asciiTheme="minorEastAsia" w:hAnsiTheme="minorEastAsia" w:eastAsiaTheme="minorEastAsia" w:cstheme="minorEastAsia"/>
          <w:sz w:val="30"/>
          <w:szCs w:val="30"/>
          <w:lang w:val="en-US" w:eastAsia="zh-CN"/>
        </w:rPr>
        <w:t>机构总数为1个，是行政单位。</w:t>
      </w:r>
    </w:p>
    <w:p>
      <w:pPr>
        <w:numPr>
          <w:ilvl w:val="0"/>
          <w:numId w:val="1"/>
        </w:num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人员情况：编制人数为23人，年末实有在职人员23人，退休人员44人，离休人员2人，遗属人员2人，临聘人员4人，均为一般公共预算财政拨款开支人员。</w:t>
      </w:r>
    </w:p>
    <w:p>
      <w:pPr>
        <w:snapToGrid w:val="0"/>
        <w:spacing w:line="520" w:lineRule="exact"/>
        <w:ind w:firstLine="602" w:firstLineChars="200"/>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（二）当年取得的主要事业成效。</w:t>
      </w:r>
    </w:p>
    <w:p>
      <w:pPr>
        <w:ind w:firstLine="600" w:firstLineChars="200"/>
        <w:rPr>
          <w:rFonts w:hint="eastAsia" w:asciiTheme="minorEastAsia" w:hAnsiTheme="minorEastAsia" w:eastAsiaTheme="minorEastAsia" w:cstheme="minorEastAsia"/>
          <w:sz w:val="30"/>
          <w:szCs w:val="30"/>
        </w:rPr>
      </w:pPr>
      <w:bookmarkStart w:id="1" w:name="YS060102"/>
      <w:r>
        <w:rPr>
          <w:rFonts w:hint="eastAsia" w:asciiTheme="minorEastAsia" w:hAnsiTheme="minorEastAsia" w:eastAsiaTheme="minorEastAsia" w:cstheme="minorEastAsia"/>
          <w:sz w:val="30"/>
          <w:szCs w:val="30"/>
        </w:rPr>
        <w:t>当年取得的主要事业成效：在旗政府及上级业务部门的领导下，取得各项工作的圆满完成，尤其是在接受自治区年末验收工作取得了非常优异的成绩，得到了上级业务部门的高度评价。</w:t>
      </w:r>
    </w:p>
    <w:p>
      <w:pPr>
        <w:numPr>
          <w:ilvl w:val="0"/>
          <w:numId w:val="2"/>
        </w:numPr>
        <w:snapToGrid w:val="0"/>
        <w:spacing w:line="520" w:lineRule="exact"/>
        <w:ind w:firstLine="602"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收入支出预算执行情况分析</w:t>
      </w:r>
    </w:p>
    <w:bookmarkEnd w:id="1"/>
    <w:p>
      <w:pPr>
        <w:numPr>
          <w:ilvl w:val="0"/>
          <w:numId w:val="3"/>
        </w:numPr>
        <w:ind w:firstLine="602" w:firstLineChars="200"/>
        <w:rPr>
          <w:rFonts w:hint="eastAsia" w:asciiTheme="minorEastAsia" w:hAnsiTheme="minorEastAsia" w:eastAsiaTheme="minorEastAsia" w:cstheme="minorEastAsia"/>
          <w:b w:val="0"/>
          <w:bCs w:val="0"/>
          <w:sz w:val="30"/>
          <w:szCs w:val="30"/>
          <w:lang w:eastAsia="zh-CN"/>
        </w:rPr>
      </w:pPr>
      <w:r>
        <w:rPr>
          <w:rFonts w:hint="eastAsia" w:asciiTheme="minorEastAsia" w:hAnsiTheme="minorEastAsia" w:eastAsiaTheme="minorEastAsia" w:cstheme="minorEastAsia"/>
          <w:b/>
          <w:bCs/>
          <w:sz w:val="30"/>
          <w:szCs w:val="30"/>
        </w:rPr>
        <w:t>、收入支出预算安排情况</w:t>
      </w:r>
      <w:r>
        <w:rPr>
          <w:rFonts w:hint="eastAsia" w:asciiTheme="minorEastAsia" w:hAnsiTheme="minorEastAsia" w:eastAsiaTheme="minorEastAsia" w:cstheme="minorEastAsia"/>
          <w:sz w:val="30"/>
          <w:szCs w:val="30"/>
        </w:rPr>
        <w:t>：</w:t>
      </w:r>
    </w:p>
    <w:p>
      <w:pPr>
        <w:numPr>
          <w:ilvl w:val="0"/>
          <w:numId w:val="0"/>
        </w:numPr>
        <w:ind w:firstLine="600" w:firstLineChars="200"/>
        <w:rPr>
          <w:rFonts w:hint="eastAsia" w:asciiTheme="minorEastAsia" w:hAnsiTheme="minorEastAsia" w:eastAsiaTheme="minorEastAsia" w:cstheme="minorEastAsia"/>
          <w:b w:val="0"/>
          <w:bCs w:val="0"/>
          <w:sz w:val="30"/>
          <w:szCs w:val="30"/>
          <w:lang w:eastAsia="zh-CN"/>
        </w:rPr>
      </w:pPr>
      <w:r>
        <w:rPr>
          <w:rFonts w:hint="eastAsia" w:asciiTheme="minorEastAsia" w:hAnsiTheme="minorEastAsia" w:eastAsiaTheme="minorEastAsia" w:cstheme="minorEastAsia"/>
          <w:sz w:val="30"/>
          <w:szCs w:val="30"/>
        </w:rPr>
        <w:t>20</w:t>
      </w:r>
      <w:r>
        <w:rPr>
          <w:rFonts w:hint="eastAsia" w:asciiTheme="minorEastAsia" w:hAnsiTheme="minorEastAsia" w:eastAsiaTheme="minorEastAsia" w:cstheme="minorEastAsia"/>
          <w:sz w:val="30"/>
          <w:szCs w:val="30"/>
          <w:lang w:val="en-US" w:eastAsia="zh-CN"/>
        </w:rPr>
        <w:t>21</w:t>
      </w:r>
      <w:r>
        <w:rPr>
          <w:rFonts w:hint="eastAsia" w:asciiTheme="minorEastAsia" w:hAnsiTheme="minorEastAsia" w:eastAsiaTheme="minorEastAsia" w:cstheme="minorEastAsia"/>
          <w:sz w:val="30"/>
          <w:szCs w:val="30"/>
        </w:rPr>
        <w:t>年预算安排</w:t>
      </w:r>
      <w:r>
        <w:rPr>
          <w:rFonts w:hint="eastAsia" w:asciiTheme="minorEastAsia" w:hAnsiTheme="minorEastAsia" w:eastAsiaTheme="minorEastAsia" w:cstheme="minorEastAsia"/>
          <w:sz w:val="30"/>
          <w:szCs w:val="30"/>
          <w:lang w:eastAsia="zh-CN"/>
        </w:rPr>
        <w:t>财政</w:t>
      </w:r>
      <w:r>
        <w:rPr>
          <w:rFonts w:hint="eastAsia" w:asciiTheme="minorEastAsia" w:hAnsiTheme="minorEastAsia" w:eastAsiaTheme="minorEastAsia" w:cstheme="minorEastAsia"/>
          <w:sz w:val="30"/>
          <w:szCs w:val="30"/>
        </w:rPr>
        <w:t>收入</w:t>
      </w:r>
      <w:r>
        <w:rPr>
          <w:rFonts w:hint="eastAsia" w:asciiTheme="minorEastAsia" w:hAnsiTheme="minorEastAsia" w:eastAsiaTheme="minorEastAsia" w:cstheme="minorEastAsia"/>
          <w:sz w:val="30"/>
          <w:szCs w:val="30"/>
          <w:lang w:val="en-US" w:eastAsia="zh-CN"/>
        </w:rPr>
        <w:t>1422.02万</w:t>
      </w:r>
      <w:r>
        <w:rPr>
          <w:rFonts w:hint="eastAsia" w:asciiTheme="minorEastAsia" w:hAnsiTheme="minorEastAsia" w:eastAsiaTheme="minorEastAsia" w:cstheme="minorEastAsia"/>
          <w:sz w:val="30"/>
          <w:szCs w:val="30"/>
        </w:rPr>
        <w:t>元，财政支出为</w:t>
      </w:r>
      <w:r>
        <w:rPr>
          <w:rFonts w:hint="eastAsia" w:asciiTheme="minorEastAsia" w:hAnsiTheme="minorEastAsia" w:eastAsiaTheme="minorEastAsia" w:cstheme="minorEastAsia"/>
          <w:sz w:val="30"/>
          <w:szCs w:val="30"/>
          <w:lang w:val="en-US" w:eastAsia="zh-CN"/>
        </w:rPr>
        <w:t>1422.02万</w:t>
      </w:r>
      <w:r>
        <w:rPr>
          <w:rFonts w:hint="eastAsia" w:asciiTheme="minorEastAsia" w:hAnsiTheme="minorEastAsia" w:eastAsiaTheme="minorEastAsia" w:cstheme="minorEastAsia"/>
          <w:sz w:val="30"/>
          <w:szCs w:val="30"/>
        </w:rPr>
        <w:t>元</w:t>
      </w:r>
      <w:r>
        <w:rPr>
          <w:rFonts w:hint="eastAsia" w:asciiTheme="minorEastAsia" w:hAnsiTheme="minorEastAsia" w:eastAsiaTheme="minorEastAsia" w:cstheme="minorEastAsia"/>
          <w:sz w:val="30"/>
          <w:szCs w:val="30"/>
          <w:lang w:eastAsia="zh-CN"/>
        </w:rPr>
        <w:t>。</w:t>
      </w:r>
    </w:p>
    <w:p>
      <w:pPr>
        <w:numPr>
          <w:ilvl w:val="0"/>
          <w:numId w:val="0"/>
        </w:numPr>
        <w:ind w:firstLine="600" w:firstLineChars="200"/>
        <w:rPr>
          <w:rFonts w:hint="eastAsia" w:asciiTheme="minorEastAsia" w:hAnsiTheme="minorEastAsia" w:eastAsiaTheme="minorEastAsia" w:cstheme="minorEastAsia"/>
          <w:b w:val="0"/>
          <w:bCs w:val="0"/>
          <w:sz w:val="30"/>
          <w:szCs w:val="30"/>
          <w:lang w:eastAsia="zh-CN"/>
        </w:rPr>
      </w:pPr>
      <w:r>
        <w:rPr>
          <w:rFonts w:hint="eastAsia" w:asciiTheme="minorEastAsia" w:hAnsiTheme="minorEastAsia" w:eastAsiaTheme="minorEastAsia" w:cstheme="minorEastAsia"/>
          <w:b w:val="0"/>
          <w:bCs w:val="0"/>
          <w:sz w:val="30"/>
          <w:szCs w:val="30"/>
          <w:lang w:eastAsia="zh-CN"/>
        </w:rPr>
        <w:t>（二）、</w:t>
      </w:r>
      <w:r>
        <w:rPr>
          <w:rFonts w:hint="eastAsia" w:asciiTheme="minorEastAsia" w:hAnsiTheme="minorEastAsia" w:eastAsiaTheme="minorEastAsia" w:cstheme="minorEastAsia"/>
          <w:b/>
          <w:bCs/>
          <w:sz w:val="30"/>
          <w:szCs w:val="30"/>
          <w:lang w:eastAsia="zh-CN"/>
        </w:rPr>
        <w:t>收入支出预算执行情况：</w:t>
      </w:r>
    </w:p>
    <w:p>
      <w:pPr>
        <w:ind w:firstLine="600" w:firstLineChars="200"/>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b w:val="0"/>
          <w:bCs w:val="0"/>
          <w:sz w:val="30"/>
          <w:szCs w:val="30"/>
          <w:lang w:val="en-US" w:eastAsia="zh-CN"/>
        </w:rPr>
        <w:t>1、</w:t>
      </w:r>
      <w:r>
        <w:rPr>
          <w:rFonts w:hint="eastAsia" w:asciiTheme="minorEastAsia" w:hAnsiTheme="minorEastAsia" w:eastAsiaTheme="minorEastAsia" w:cstheme="minorEastAsia"/>
          <w:sz w:val="30"/>
          <w:szCs w:val="30"/>
        </w:rPr>
        <w:t>20</w:t>
      </w:r>
      <w:r>
        <w:rPr>
          <w:rFonts w:hint="eastAsia" w:asciiTheme="minorEastAsia" w:hAnsiTheme="minorEastAsia" w:eastAsiaTheme="minorEastAsia" w:cstheme="minorEastAsia"/>
          <w:sz w:val="30"/>
          <w:szCs w:val="30"/>
          <w:lang w:val="en-US" w:eastAsia="zh-CN"/>
        </w:rPr>
        <w:t>21</w:t>
      </w:r>
      <w:r>
        <w:rPr>
          <w:rFonts w:hint="eastAsia" w:asciiTheme="minorEastAsia" w:hAnsiTheme="minorEastAsia" w:eastAsiaTheme="minorEastAsia" w:cstheme="minorEastAsia"/>
          <w:sz w:val="30"/>
          <w:szCs w:val="30"/>
        </w:rPr>
        <w:t>年预算安排收入</w:t>
      </w:r>
      <w:r>
        <w:rPr>
          <w:rFonts w:hint="eastAsia" w:asciiTheme="minorEastAsia" w:hAnsiTheme="minorEastAsia" w:eastAsiaTheme="minorEastAsia" w:cstheme="minorEastAsia"/>
          <w:sz w:val="30"/>
          <w:szCs w:val="30"/>
          <w:lang w:val="en-US" w:eastAsia="zh-CN"/>
        </w:rPr>
        <w:t>1422.02万</w:t>
      </w:r>
      <w:r>
        <w:rPr>
          <w:rFonts w:hint="eastAsia" w:asciiTheme="minorEastAsia" w:hAnsiTheme="minorEastAsia" w:eastAsiaTheme="minorEastAsia" w:cstheme="minorEastAsia"/>
          <w:sz w:val="30"/>
          <w:szCs w:val="30"/>
        </w:rPr>
        <w:t>元，</w:t>
      </w:r>
      <w:r>
        <w:rPr>
          <w:rFonts w:hint="eastAsia" w:asciiTheme="minorEastAsia" w:hAnsiTheme="minorEastAsia" w:eastAsiaTheme="minorEastAsia" w:cstheme="minorEastAsia"/>
          <w:sz w:val="30"/>
          <w:szCs w:val="30"/>
          <w:lang w:eastAsia="zh-CN"/>
        </w:rPr>
        <w:t>决算收入为：</w:t>
      </w:r>
      <w:r>
        <w:rPr>
          <w:rFonts w:hint="eastAsia" w:asciiTheme="minorEastAsia" w:hAnsiTheme="minorEastAsia" w:eastAsiaTheme="minorEastAsia" w:cstheme="minorEastAsia"/>
          <w:sz w:val="30"/>
          <w:szCs w:val="30"/>
          <w:lang w:val="en-US" w:eastAsia="zh-CN"/>
        </w:rPr>
        <w:t>1422.02万元，其中财政拨款收入1422.02万元；</w:t>
      </w:r>
      <w:r>
        <w:rPr>
          <w:rFonts w:hint="eastAsia" w:asciiTheme="minorEastAsia" w:hAnsiTheme="minorEastAsia" w:eastAsiaTheme="minorEastAsia" w:cstheme="minorEastAsia"/>
          <w:sz w:val="30"/>
          <w:szCs w:val="30"/>
        </w:rPr>
        <w:t>财政支出预算为</w:t>
      </w:r>
      <w:r>
        <w:rPr>
          <w:rFonts w:hint="eastAsia" w:asciiTheme="minorEastAsia" w:hAnsiTheme="minorEastAsia" w:eastAsiaTheme="minorEastAsia" w:cstheme="minorEastAsia"/>
          <w:sz w:val="30"/>
          <w:szCs w:val="30"/>
          <w:lang w:val="en-US" w:eastAsia="zh-CN"/>
        </w:rPr>
        <w:t>1422.02万</w:t>
      </w:r>
      <w:r>
        <w:rPr>
          <w:rFonts w:hint="eastAsia" w:asciiTheme="minorEastAsia" w:hAnsiTheme="minorEastAsia" w:eastAsiaTheme="minorEastAsia" w:cstheme="minorEastAsia"/>
          <w:sz w:val="30"/>
          <w:szCs w:val="30"/>
        </w:rPr>
        <w:t>元，</w:t>
      </w:r>
      <w:r>
        <w:rPr>
          <w:rFonts w:hint="eastAsia" w:asciiTheme="minorEastAsia" w:hAnsiTheme="minorEastAsia" w:eastAsiaTheme="minorEastAsia" w:cstheme="minorEastAsia"/>
          <w:sz w:val="30"/>
          <w:szCs w:val="30"/>
          <w:lang w:eastAsia="zh-CN"/>
        </w:rPr>
        <w:t>支出决算为</w:t>
      </w:r>
      <w:r>
        <w:rPr>
          <w:rFonts w:hint="eastAsia" w:asciiTheme="minorEastAsia" w:hAnsiTheme="minorEastAsia" w:eastAsiaTheme="minorEastAsia" w:cstheme="minorEastAsia"/>
          <w:sz w:val="30"/>
          <w:szCs w:val="30"/>
          <w:lang w:val="en-US" w:eastAsia="zh-CN"/>
        </w:rPr>
        <w:t>1422.02万元，</w:t>
      </w:r>
      <w:r>
        <w:rPr>
          <w:rFonts w:hint="eastAsia" w:asciiTheme="minorEastAsia" w:hAnsiTheme="minorEastAsia" w:eastAsiaTheme="minorEastAsia" w:cstheme="minorEastAsia"/>
          <w:sz w:val="30"/>
          <w:szCs w:val="30"/>
        </w:rPr>
        <w:t>其中</w:t>
      </w:r>
      <w:r>
        <w:rPr>
          <w:rFonts w:hint="eastAsia" w:asciiTheme="minorEastAsia" w:hAnsiTheme="minorEastAsia" w:eastAsiaTheme="minorEastAsia" w:cstheme="minorEastAsia"/>
          <w:sz w:val="30"/>
          <w:szCs w:val="30"/>
          <w:lang w:eastAsia="zh-CN"/>
        </w:rPr>
        <w:t>社会保障和就业支出</w:t>
      </w:r>
      <w:r>
        <w:rPr>
          <w:rFonts w:hint="eastAsia" w:asciiTheme="minorEastAsia" w:hAnsiTheme="minorEastAsia" w:eastAsiaTheme="minorEastAsia" w:cstheme="minorEastAsia"/>
          <w:sz w:val="30"/>
          <w:szCs w:val="30"/>
          <w:lang w:val="en-US" w:eastAsia="zh-CN"/>
        </w:rPr>
        <w:t>105.37万</w:t>
      </w:r>
      <w:r>
        <w:rPr>
          <w:rFonts w:hint="eastAsia" w:asciiTheme="minorEastAsia" w:hAnsiTheme="minorEastAsia" w:eastAsiaTheme="minorEastAsia" w:cstheme="minorEastAsia"/>
          <w:sz w:val="30"/>
          <w:szCs w:val="30"/>
        </w:rPr>
        <w:t>元，</w:t>
      </w:r>
      <w:r>
        <w:rPr>
          <w:rFonts w:hint="eastAsia" w:asciiTheme="minorEastAsia" w:hAnsiTheme="minorEastAsia" w:eastAsiaTheme="minorEastAsia" w:cstheme="minorEastAsia"/>
          <w:sz w:val="30"/>
          <w:szCs w:val="30"/>
          <w:lang w:eastAsia="zh-CN"/>
        </w:rPr>
        <w:t>医疗卫生与计划生育支出</w:t>
      </w:r>
      <w:r>
        <w:rPr>
          <w:rFonts w:hint="eastAsia" w:asciiTheme="minorEastAsia" w:hAnsiTheme="minorEastAsia" w:eastAsiaTheme="minorEastAsia" w:cstheme="minorEastAsia"/>
          <w:sz w:val="30"/>
          <w:szCs w:val="30"/>
          <w:lang w:val="en-US" w:eastAsia="zh-CN"/>
        </w:rPr>
        <w:t>1446.95万</w:t>
      </w:r>
      <w:r>
        <w:rPr>
          <w:rFonts w:hint="eastAsia" w:asciiTheme="minorEastAsia" w:hAnsiTheme="minorEastAsia" w:eastAsiaTheme="minorEastAsia" w:cstheme="minorEastAsia"/>
          <w:sz w:val="30"/>
          <w:szCs w:val="30"/>
        </w:rPr>
        <w:t>元，</w:t>
      </w:r>
      <w:r>
        <w:rPr>
          <w:rFonts w:hint="eastAsia" w:asciiTheme="minorEastAsia" w:hAnsiTheme="minorEastAsia" w:eastAsiaTheme="minorEastAsia" w:cstheme="minorEastAsia"/>
          <w:sz w:val="30"/>
          <w:szCs w:val="30"/>
          <w:lang w:eastAsia="zh-CN"/>
        </w:rPr>
        <w:t>住房保障支出</w:t>
      </w:r>
      <w:r>
        <w:rPr>
          <w:rFonts w:hint="eastAsia" w:asciiTheme="minorEastAsia" w:hAnsiTheme="minorEastAsia" w:eastAsiaTheme="minorEastAsia" w:cstheme="minorEastAsia"/>
          <w:sz w:val="30"/>
          <w:szCs w:val="30"/>
          <w:lang w:val="en-US" w:eastAsia="zh-CN"/>
        </w:rPr>
        <w:t>21万</w:t>
      </w:r>
      <w:r>
        <w:rPr>
          <w:rFonts w:hint="eastAsia" w:asciiTheme="minorEastAsia" w:hAnsiTheme="minorEastAsia" w:eastAsiaTheme="minorEastAsia" w:cstheme="minorEastAsia"/>
          <w:sz w:val="30"/>
          <w:szCs w:val="30"/>
        </w:rPr>
        <w:t>元</w:t>
      </w:r>
      <w:r>
        <w:rPr>
          <w:rFonts w:hint="eastAsia" w:asciiTheme="minorEastAsia" w:hAnsiTheme="minorEastAsia" w:eastAsiaTheme="minorEastAsia" w:cstheme="minorEastAsia"/>
          <w:sz w:val="30"/>
          <w:szCs w:val="30"/>
          <w:lang w:eastAsia="zh-CN"/>
        </w:rPr>
        <w:t>。</w:t>
      </w:r>
    </w:p>
    <w:p>
      <w:pPr>
        <w:ind w:firstLine="600" w:firstLineChars="200"/>
        <w:rPr>
          <w:rFonts w:hint="eastAsia" w:asciiTheme="minorEastAsia" w:hAnsiTheme="minorEastAsia" w:eastAsiaTheme="minorEastAsia" w:cstheme="minorEastAsia"/>
          <w:sz w:val="30"/>
          <w:szCs w:val="30"/>
          <w:lang w:val="en-US"/>
        </w:rPr>
      </w:pPr>
      <w:r>
        <w:rPr>
          <w:rFonts w:hint="eastAsia" w:asciiTheme="minorEastAsia" w:hAnsiTheme="minorEastAsia" w:eastAsiaTheme="minorEastAsia" w:cstheme="minorEastAsia"/>
          <w:b w:val="0"/>
          <w:bCs/>
          <w:sz w:val="30"/>
          <w:szCs w:val="30"/>
          <w:lang w:val="en-US" w:eastAsia="zh-CN"/>
        </w:rPr>
        <w:t>2、收入支出结构分析：</w:t>
      </w:r>
      <w:r>
        <w:rPr>
          <w:rFonts w:hint="eastAsia" w:asciiTheme="minorEastAsia" w:hAnsiTheme="minorEastAsia" w:eastAsiaTheme="minorEastAsia" w:cstheme="minorEastAsia"/>
          <w:sz w:val="30"/>
          <w:szCs w:val="30"/>
          <w:lang w:eastAsia="zh-CN"/>
        </w:rPr>
        <w:t>人员支出</w:t>
      </w:r>
      <w:r>
        <w:rPr>
          <w:rFonts w:hint="eastAsia" w:asciiTheme="minorEastAsia" w:hAnsiTheme="minorEastAsia" w:eastAsiaTheme="minorEastAsia" w:cstheme="minorEastAsia"/>
          <w:sz w:val="30"/>
          <w:szCs w:val="30"/>
          <w:lang w:val="en-US" w:eastAsia="zh-CN"/>
        </w:rPr>
        <w:t>1013.69万元，占总支出的比重63.23%，公用支出589.48万元，占总支出的比重36.77%。</w:t>
      </w:r>
    </w:p>
    <w:p>
      <w:pPr>
        <w:numPr>
          <w:ilvl w:val="0"/>
          <w:numId w:val="0"/>
        </w:numPr>
        <w:snapToGrid w:val="0"/>
        <w:spacing w:line="520" w:lineRule="exact"/>
        <w:ind w:firstLine="600" w:firstLineChars="200"/>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3、支出按经济分类科目分析</w:t>
      </w:r>
    </w:p>
    <w:p>
      <w:pPr>
        <w:numPr>
          <w:ilvl w:val="0"/>
          <w:numId w:val="0"/>
        </w:numPr>
        <w:snapToGrid w:val="0"/>
        <w:spacing w:line="520" w:lineRule="exact"/>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三公”经费支出情况：合理合规，严格执行支出制度。会议费全年支出</w:t>
      </w:r>
      <w:r>
        <w:rPr>
          <w:rFonts w:hint="eastAsia" w:asciiTheme="minorEastAsia" w:hAnsiTheme="minorEastAsia" w:eastAsiaTheme="minorEastAsia" w:cstheme="minorEastAsia"/>
          <w:sz w:val="30"/>
          <w:szCs w:val="30"/>
          <w:lang w:val="en-US" w:eastAsia="zh-CN"/>
        </w:rPr>
        <w:t>0</w:t>
      </w:r>
      <w:r>
        <w:rPr>
          <w:rFonts w:hint="eastAsia" w:asciiTheme="minorEastAsia" w:hAnsiTheme="minorEastAsia" w:eastAsiaTheme="minorEastAsia" w:cstheme="minorEastAsia"/>
          <w:sz w:val="30"/>
          <w:szCs w:val="30"/>
        </w:rPr>
        <w:t>万元，公务用车运行维护费为</w:t>
      </w:r>
      <w:r>
        <w:rPr>
          <w:rFonts w:hint="eastAsia" w:asciiTheme="minorEastAsia" w:hAnsiTheme="minorEastAsia" w:eastAsiaTheme="minorEastAsia" w:cstheme="minorEastAsia"/>
          <w:sz w:val="30"/>
          <w:szCs w:val="30"/>
          <w:lang w:val="en-US" w:eastAsia="zh-CN"/>
        </w:rPr>
        <w:t>17564.87</w:t>
      </w:r>
      <w:r>
        <w:rPr>
          <w:rFonts w:hint="eastAsia" w:asciiTheme="minorEastAsia" w:hAnsiTheme="minorEastAsia" w:eastAsiaTheme="minorEastAsia" w:cstheme="minorEastAsia"/>
          <w:sz w:val="30"/>
          <w:szCs w:val="30"/>
        </w:rPr>
        <w:t>万元。</w:t>
      </w:r>
    </w:p>
    <w:p>
      <w:pPr>
        <w:numPr>
          <w:ilvl w:val="0"/>
          <w:numId w:val="1"/>
        </w:numPr>
        <w:snapToGrid w:val="0"/>
        <w:spacing w:line="520" w:lineRule="exact"/>
        <w:ind w:left="0" w:leftChars="0" w:firstLine="600" w:firstLineChars="200"/>
        <w:rPr>
          <w:rFonts w:hint="eastAsia" w:asciiTheme="minorEastAsia" w:hAnsiTheme="minorEastAsia" w:eastAsiaTheme="minorEastAsia" w:cstheme="minorEastAsia"/>
          <w:b w:val="0"/>
          <w:bCs w:val="0"/>
          <w:sz w:val="30"/>
          <w:szCs w:val="30"/>
          <w:lang w:val="en-US" w:eastAsia="zh-CN"/>
        </w:rPr>
      </w:pPr>
      <w:bookmarkStart w:id="2" w:name="YS060103"/>
      <w:r>
        <w:rPr>
          <w:rFonts w:hint="eastAsia" w:asciiTheme="minorEastAsia" w:hAnsiTheme="minorEastAsia" w:eastAsiaTheme="minorEastAsia" w:cstheme="minorEastAsia"/>
          <w:b w:val="0"/>
          <w:bCs w:val="0"/>
          <w:sz w:val="30"/>
          <w:szCs w:val="30"/>
          <w:lang w:val="en-US" w:eastAsia="zh-CN"/>
        </w:rPr>
        <w:t>财政拨款收入、支出分析</w:t>
      </w:r>
    </w:p>
    <w:p>
      <w:pPr>
        <w:numPr>
          <w:ilvl w:val="0"/>
          <w:numId w:val="0"/>
        </w:numPr>
        <w:snapToGrid w:val="0"/>
        <w:spacing w:line="520" w:lineRule="exact"/>
        <w:ind w:leftChars="200" w:firstLine="300" w:firstLineChars="100"/>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val="en-US" w:eastAsia="zh-CN"/>
        </w:rPr>
        <w:t>财政拨款支出</w:t>
      </w:r>
      <w:r>
        <w:rPr>
          <w:rFonts w:hint="eastAsia" w:asciiTheme="minorEastAsia" w:hAnsiTheme="minorEastAsia" w:eastAsiaTheme="minorEastAsia" w:cstheme="minorEastAsia"/>
          <w:sz w:val="30"/>
          <w:szCs w:val="30"/>
          <w:lang w:val="en-US" w:eastAsia="zh-CN"/>
        </w:rPr>
        <w:t>1603.17万元，均为基本支出。</w:t>
      </w:r>
    </w:p>
    <w:bookmarkEnd w:id="2"/>
    <w:p>
      <w:pPr>
        <w:numPr>
          <w:ilvl w:val="0"/>
          <w:numId w:val="0"/>
        </w:numPr>
        <w:snapToGrid w:val="0"/>
        <w:spacing w:line="520" w:lineRule="exact"/>
        <w:ind w:leftChars="200"/>
        <w:rPr>
          <w:rFonts w:hint="eastAsia" w:asciiTheme="minorEastAsia" w:hAnsiTheme="minorEastAsia" w:eastAsiaTheme="minorEastAsia" w:cstheme="minorEastAsia"/>
          <w:b/>
          <w:bCs/>
          <w:sz w:val="30"/>
          <w:szCs w:val="30"/>
          <w:lang w:eastAsia="zh-CN"/>
        </w:rPr>
      </w:pPr>
      <w:r>
        <w:rPr>
          <w:rFonts w:hint="eastAsia" w:asciiTheme="minorEastAsia" w:hAnsiTheme="minorEastAsia" w:eastAsiaTheme="minorEastAsia" w:cstheme="minorEastAsia"/>
          <w:b/>
          <w:bCs/>
          <w:sz w:val="30"/>
          <w:szCs w:val="30"/>
          <w:lang w:eastAsia="zh-CN"/>
        </w:rPr>
        <w:t>（三）年末结转和结余情况</w:t>
      </w:r>
    </w:p>
    <w:p>
      <w:pPr>
        <w:numPr>
          <w:ilvl w:val="0"/>
          <w:numId w:val="0"/>
        </w:numPr>
        <w:snapToGrid w:val="0"/>
        <w:spacing w:line="520" w:lineRule="exact"/>
        <w:ind w:leftChars="200"/>
        <w:rPr>
          <w:rFonts w:hint="eastAsia" w:asciiTheme="minorEastAsia" w:hAnsiTheme="minorEastAsia" w:eastAsiaTheme="minorEastAsia" w:cstheme="minorEastAsia"/>
          <w:b w:val="0"/>
          <w:bCs w:val="0"/>
          <w:sz w:val="30"/>
          <w:szCs w:val="30"/>
          <w:lang w:val="en-US" w:eastAsia="zh-CN"/>
        </w:rPr>
      </w:pPr>
      <w:r>
        <w:rPr>
          <w:rFonts w:hint="eastAsia" w:asciiTheme="minorEastAsia" w:hAnsiTheme="minorEastAsia" w:eastAsiaTheme="minorEastAsia" w:cstheme="minorEastAsia"/>
          <w:b w:val="0"/>
          <w:bCs w:val="0"/>
          <w:sz w:val="30"/>
          <w:szCs w:val="30"/>
          <w:lang w:eastAsia="zh-CN"/>
        </w:rPr>
        <w:t>年末财政拨款结转结余和非财政拨款结转结余均为</w:t>
      </w:r>
      <w:r>
        <w:rPr>
          <w:rFonts w:hint="eastAsia" w:asciiTheme="minorEastAsia" w:hAnsiTheme="minorEastAsia" w:eastAsiaTheme="minorEastAsia" w:cstheme="minorEastAsia"/>
          <w:b w:val="0"/>
          <w:bCs w:val="0"/>
          <w:sz w:val="30"/>
          <w:szCs w:val="30"/>
          <w:lang w:val="en-US" w:eastAsia="zh-CN"/>
        </w:rPr>
        <w:t>0.</w:t>
      </w:r>
    </w:p>
    <w:p>
      <w:pPr>
        <w:snapToGrid w:val="0"/>
        <w:spacing w:line="520" w:lineRule="exact"/>
        <w:ind w:firstLine="602" w:firstLineChars="200"/>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三、本年度部门决算等财务工作开展情况</w:t>
      </w:r>
    </w:p>
    <w:p>
      <w:pPr>
        <w:numPr>
          <w:ilvl w:val="0"/>
          <w:numId w:val="4"/>
        </w:numPr>
        <w:snapToGrid w:val="0"/>
        <w:spacing w:line="520" w:lineRule="exact"/>
        <w:ind w:firstLine="600" w:firstLineChars="20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本单位财务管理严格按照各项财务制度执行，执行政府会计制度，及时、准确的完成报表的编报工作。</w:t>
      </w:r>
    </w:p>
    <w:p>
      <w:pPr>
        <w:numPr>
          <w:ilvl w:val="0"/>
          <w:numId w:val="0"/>
        </w:numPr>
        <w:snapToGrid w:val="0"/>
        <w:spacing w:line="520" w:lineRule="exact"/>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（二）本单位</w:t>
      </w:r>
      <w:r>
        <w:rPr>
          <w:rFonts w:hint="eastAsia" w:asciiTheme="minorEastAsia" w:hAnsiTheme="minorEastAsia" w:eastAsiaTheme="minorEastAsia" w:cstheme="minorEastAsia"/>
          <w:sz w:val="30"/>
          <w:szCs w:val="30"/>
          <w:lang w:eastAsia="zh-CN"/>
        </w:rPr>
        <w:t>的</w:t>
      </w:r>
      <w:r>
        <w:rPr>
          <w:rFonts w:hint="eastAsia" w:asciiTheme="minorEastAsia" w:hAnsiTheme="minorEastAsia" w:eastAsiaTheme="minorEastAsia" w:cstheme="minorEastAsia"/>
          <w:sz w:val="30"/>
          <w:szCs w:val="30"/>
        </w:rPr>
        <w:t>决算工作</w:t>
      </w:r>
      <w:r>
        <w:rPr>
          <w:rFonts w:hint="eastAsia" w:asciiTheme="minorEastAsia" w:hAnsiTheme="minorEastAsia" w:eastAsiaTheme="minorEastAsia" w:cstheme="minorEastAsia"/>
          <w:sz w:val="30"/>
          <w:szCs w:val="30"/>
          <w:lang w:eastAsia="zh-CN"/>
        </w:rPr>
        <w:t>由</w:t>
      </w:r>
      <w:r>
        <w:rPr>
          <w:rFonts w:hint="eastAsia" w:asciiTheme="minorEastAsia" w:hAnsiTheme="minorEastAsia" w:eastAsiaTheme="minorEastAsia" w:cstheme="minorEastAsia"/>
          <w:sz w:val="30"/>
          <w:szCs w:val="30"/>
        </w:rPr>
        <w:t>主管部门对所属单位按规定批复决算工作开展。</w:t>
      </w:r>
    </w:p>
    <w:p>
      <w:pPr>
        <w:snapToGrid w:val="0"/>
        <w:spacing w:line="520" w:lineRule="exact"/>
        <w:ind w:firstLine="600" w:firstLineChars="20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（三）对部门决算管理工作的意见和建议</w:t>
      </w:r>
    </w:p>
    <w:p>
      <w:pPr>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 xml:space="preserve">    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CB40C7"/>
    <w:multiLevelType w:val="singleLevel"/>
    <w:tmpl w:val="BDCB40C7"/>
    <w:lvl w:ilvl="0" w:tentative="0">
      <w:start w:val="1"/>
      <w:numFmt w:val="chineseCounting"/>
      <w:suff w:val="nothing"/>
      <w:lvlText w:val="（%1）"/>
      <w:lvlJc w:val="left"/>
      <w:rPr>
        <w:rFonts w:hint="eastAsia"/>
      </w:rPr>
    </w:lvl>
  </w:abstractNum>
  <w:abstractNum w:abstractNumId="1">
    <w:nsid w:val="4E13E0DF"/>
    <w:multiLevelType w:val="singleLevel"/>
    <w:tmpl w:val="4E13E0DF"/>
    <w:lvl w:ilvl="0" w:tentative="0">
      <w:start w:val="2"/>
      <w:numFmt w:val="chineseCounting"/>
      <w:suff w:val="nothing"/>
      <w:lvlText w:val="%1、"/>
      <w:lvlJc w:val="left"/>
      <w:rPr>
        <w:rFonts w:hint="eastAsia"/>
      </w:rPr>
    </w:lvl>
  </w:abstractNum>
  <w:abstractNum w:abstractNumId="2">
    <w:nsid w:val="5385AE76"/>
    <w:multiLevelType w:val="singleLevel"/>
    <w:tmpl w:val="5385AE76"/>
    <w:lvl w:ilvl="0" w:tentative="0">
      <w:start w:val="1"/>
      <w:numFmt w:val="chineseCounting"/>
      <w:suff w:val="nothing"/>
      <w:lvlText w:val="（%1）"/>
      <w:lvlJc w:val="left"/>
      <w:rPr>
        <w:rFonts w:hint="eastAsia"/>
      </w:rPr>
    </w:lvl>
  </w:abstractNum>
  <w:abstractNum w:abstractNumId="3">
    <w:nsid w:val="58992712"/>
    <w:multiLevelType w:val="singleLevel"/>
    <w:tmpl w:val="58992712"/>
    <w:lvl w:ilvl="0" w:tentative="0">
      <w:start w:val="2"/>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B54"/>
    <w:rsid w:val="00074FA4"/>
    <w:rsid w:val="00176422"/>
    <w:rsid w:val="00272B54"/>
    <w:rsid w:val="00290AF5"/>
    <w:rsid w:val="00765932"/>
    <w:rsid w:val="00790985"/>
    <w:rsid w:val="007E481C"/>
    <w:rsid w:val="00925002"/>
    <w:rsid w:val="00A736FE"/>
    <w:rsid w:val="045E5DA6"/>
    <w:rsid w:val="11063363"/>
    <w:rsid w:val="111F7999"/>
    <w:rsid w:val="14C577EE"/>
    <w:rsid w:val="150815B7"/>
    <w:rsid w:val="16F50030"/>
    <w:rsid w:val="1D233DE8"/>
    <w:rsid w:val="1E2701BA"/>
    <w:rsid w:val="1E427698"/>
    <w:rsid w:val="23C80C72"/>
    <w:rsid w:val="25F10904"/>
    <w:rsid w:val="2A362986"/>
    <w:rsid w:val="2D477D97"/>
    <w:rsid w:val="349B138B"/>
    <w:rsid w:val="353D41A4"/>
    <w:rsid w:val="3D806A4C"/>
    <w:rsid w:val="3E3E22A7"/>
    <w:rsid w:val="40574C1C"/>
    <w:rsid w:val="4AFC441B"/>
    <w:rsid w:val="4E6147AD"/>
    <w:rsid w:val="521A665D"/>
    <w:rsid w:val="55944CBE"/>
    <w:rsid w:val="5A00349E"/>
    <w:rsid w:val="5A7E3417"/>
    <w:rsid w:val="5C9C5567"/>
    <w:rsid w:val="5CEE59A2"/>
    <w:rsid w:val="5F0E7032"/>
    <w:rsid w:val="61BA5761"/>
    <w:rsid w:val="67013EBC"/>
    <w:rsid w:val="6D2370B9"/>
    <w:rsid w:val="6E7D57A6"/>
    <w:rsid w:val="6EF57838"/>
    <w:rsid w:val="74402821"/>
    <w:rsid w:val="74503750"/>
    <w:rsid w:val="76A31F92"/>
    <w:rsid w:val="783B4DEB"/>
    <w:rsid w:val="79E72D2D"/>
    <w:rsid w:val="7F110D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FollowedHyperlink"/>
    <w:basedOn w:val="6"/>
    <w:uiPriority w:val="0"/>
    <w:rPr>
      <w:color w:val="222222"/>
      <w:u w:val="none"/>
    </w:rPr>
  </w:style>
  <w:style w:type="character" w:styleId="8">
    <w:name w:val="Hyperlink"/>
    <w:basedOn w:val="6"/>
    <w:qFormat/>
    <w:uiPriority w:val="0"/>
    <w:rPr>
      <w:color w:val="222222"/>
      <w:u w:val="none"/>
    </w:rPr>
  </w:style>
  <w:style w:type="character" w:customStyle="1" w:styleId="9">
    <w:name w:val="页眉 Char"/>
    <w:basedOn w:val="6"/>
    <w:link w:val="3"/>
    <w:qFormat/>
    <w:uiPriority w:val="0"/>
    <w:rPr>
      <w:kern w:val="2"/>
      <w:sz w:val="18"/>
      <w:szCs w:val="18"/>
    </w:rPr>
  </w:style>
  <w:style w:type="character" w:customStyle="1" w:styleId="10">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1475</Words>
  <Characters>1576</Characters>
  <Lines>15</Lines>
  <Paragraphs>4</Paragraphs>
  <TotalTime>80</TotalTime>
  <ScaleCrop>false</ScaleCrop>
  <LinksUpToDate>false</LinksUpToDate>
  <CharactersWithSpaces>1580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2019-09-04T14:45:00Z</dcterms:created>
  <dc:creator>admin</dc:creator>
  <cp:lastModifiedBy>Catherineᵞ</cp:lastModifiedBy>
  <dcterms:modified xsi:type="dcterms:W3CDTF">2022-04-20T02:18:56Z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E12B986EB5B34A9FA344DB064CCDA38C</vt:lpwstr>
  </property>
</Properties>
</file>